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15D9" w14:textId="77777777" w:rsidR="004F5579" w:rsidRDefault="00833D22">
      <w:pPr>
        <w:tabs>
          <w:tab w:val="left" w:pos="3402"/>
        </w:tabs>
        <w:spacing w:line="276" w:lineRule="auto"/>
        <w:ind w:left="851" w:right="142" w:firstLine="142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Raccomandata A.R.</w:t>
      </w:r>
    </w:p>
    <w:p w14:paraId="3C6F1B05" w14:textId="77777777" w:rsidR="004F5579" w:rsidRDefault="0080017D">
      <w:pPr>
        <w:tabs>
          <w:tab w:val="left" w:pos="3402"/>
        </w:tabs>
        <w:spacing w:line="276" w:lineRule="auto"/>
        <w:ind w:left="851" w:right="142" w:firstLine="142"/>
        <w:jc w:val="right"/>
        <w:rPr>
          <w:rFonts w:cstheme="minorHAnsi"/>
          <w:b/>
          <w:sz w:val="24"/>
          <w:szCs w:val="24"/>
        </w:rPr>
      </w:pPr>
      <w:hyperlink r:id="rId4">
        <w:r w:rsidR="00833D22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</w:rPr>
          <w:t>urp@postacert.istruzione.it</w:t>
        </w:r>
      </w:hyperlink>
      <w:r w:rsidR="00833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C6BF5" w14:textId="77777777" w:rsidR="004F5579" w:rsidRDefault="00833D22">
      <w:pPr>
        <w:tabs>
          <w:tab w:val="left" w:pos="3402"/>
        </w:tabs>
        <w:spacing w:line="276" w:lineRule="auto"/>
        <w:ind w:left="851" w:right="142" w:firstLine="14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Spett.le</w:t>
      </w:r>
    </w:p>
    <w:p w14:paraId="13764104" w14:textId="77777777" w:rsidR="004F5579" w:rsidRDefault="00833D22">
      <w:pPr>
        <w:pStyle w:val="Titolo1"/>
        <w:ind w:left="851" w:right="140" w:firstLine="1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Ministero dell’Istruzione e del Merito </w:t>
      </w:r>
    </w:p>
    <w:p w14:paraId="3AA8F3F8" w14:textId="77777777" w:rsidR="004F5579" w:rsidRDefault="00833D22">
      <w:pPr>
        <w:tabs>
          <w:tab w:val="left" w:pos="3402"/>
        </w:tabs>
        <w:spacing w:line="276" w:lineRule="auto"/>
        <w:ind w:left="851" w:right="140" w:firstLine="14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Viale Trastevere n. 76/A </w:t>
      </w:r>
    </w:p>
    <w:p w14:paraId="7EA44FCD" w14:textId="77777777" w:rsidR="004F5579" w:rsidRDefault="00833D22">
      <w:pPr>
        <w:tabs>
          <w:tab w:val="left" w:pos="3402"/>
        </w:tabs>
        <w:spacing w:line="276" w:lineRule="auto"/>
        <w:ind w:left="851" w:right="140" w:firstLine="141"/>
        <w:jc w:val="right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00153 ROMA</w:t>
      </w:r>
    </w:p>
    <w:p w14:paraId="00965C18" w14:textId="77777777" w:rsidR="004F5579" w:rsidRDefault="004F5579">
      <w:pPr>
        <w:spacing w:line="276" w:lineRule="auto"/>
        <w:ind w:left="851"/>
        <w:rPr>
          <w:rFonts w:cstheme="minorHAnsi"/>
          <w:sz w:val="24"/>
          <w:szCs w:val="24"/>
        </w:rPr>
      </w:pPr>
    </w:p>
    <w:p w14:paraId="2357B87F" w14:textId="77777777" w:rsidR="004F5579" w:rsidRDefault="00833D22">
      <w:pPr>
        <w:spacing w:line="276" w:lineRule="auto"/>
        <w:ind w:left="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Oggetto: richiesta del computo dell’anno 2013 ai fini della ricostruzione di carriera e di corresponsione delle relative differenze retributive.</w:t>
      </w:r>
    </w:p>
    <w:p w14:paraId="774DA751" w14:textId="77777777" w:rsidR="004F5579" w:rsidRDefault="00833D22">
      <w:pPr>
        <w:spacing w:line="276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 __________________________________________________,</w:t>
      </w:r>
    </w:p>
    <w:p w14:paraId="7918C931" w14:textId="77777777" w:rsidR="004F5579" w:rsidRDefault="00833D22">
      <w:pPr>
        <w:spacing w:line="276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(riportare generalità, Codice fiscale e sede di attuale servizio)</w:t>
      </w:r>
      <w:r>
        <w:rPr>
          <w:rFonts w:cstheme="minorHAnsi"/>
          <w:sz w:val="24"/>
          <w:szCs w:val="24"/>
        </w:rPr>
        <w:t xml:space="preserve"> </w:t>
      </w:r>
    </w:p>
    <w:p w14:paraId="46EB61A6" w14:textId="77777777" w:rsidR="004F5579" w:rsidRDefault="00833D22">
      <w:pPr>
        <w:spacing w:line="276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scrive la presente diffida per richiedere il </w:t>
      </w:r>
      <w:r>
        <w:rPr>
          <w:rFonts w:cstheme="minorHAnsi"/>
          <w:b/>
          <w:sz w:val="24"/>
          <w:szCs w:val="24"/>
        </w:rPr>
        <w:t>riconoscimento ai fini giuridici dell’anno scolastico 2013</w:t>
      </w:r>
      <w:r>
        <w:rPr>
          <w:rFonts w:cstheme="minorHAnsi"/>
          <w:sz w:val="24"/>
          <w:szCs w:val="24"/>
        </w:rPr>
        <w:t>, con conseguente retrodatazione giuridica dell’inquadramento nelle varie fasce stipendiali di inquadramento e corresponsione delle differenze retributive non erogate a causa dell’inquadramento nei ruoli ministeriali senza il computo del 2013.</w:t>
      </w:r>
    </w:p>
    <w:p w14:paraId="4F0DF917" w14:textId="77777777" w:rsidR="004F5579" w:rsidRDefault="00833D22">
      <w:pPr>
        <w:spacing w:line="276" w:lineRule="auto"/>
        <w:ind w:left="85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Come chiarito dalla Corte di Cassazione infatti </w:t>
      </w:r>
      <w:r>
        <w:rPr>
          <w:rFonts w:cstheme="minorHAnsi"/>
          <w:bCs/>
          <w:i/>
          <w:sz w:val="24"/>
          <w:szCs w:val="24"/>
        </w:rPr>
        <w:t xml:space="preserve">«le disposizioni che hanno stabilito il blocco delle posizioni stipendiali e dei relativi incrementi economici previsti dalle norme contrattuali collettive - da individuarsi, più precisamente, nell'art. 1, comma 1, lett. b, del d.P.R. n. 122 del 2013, che estese a tutto il 2013 quanto già stabilito per gli anni 2010, 2011 e 2012 dall'art. 9, comma 23, del </w:t>
      </w:r>
      <w:proofErr w:type="spellStart"/>
      <w:r>
        <w:rPr>
          <w:rFonts w:cstheme="minorHAnsi"/>
          <w:bCs/>
          <w:i/>
          <w:sz w:val="24"/>
          <w:szCs w:val="24"/>
        </w:rPr>
        <w:t>d.l.</w:t>
      </w:r>
      <w:proofErr w:type="spellEnd"/>
      <w:r>
        <w:rPr>
          <w:rFonts w:cstheme="minorHAnsi"/>
          <w:bCs/>
          <w:i/>
          <w:sz w:val="24"/>
          <w:szCs w:val="24"/>
        </w:rPr>
        <w:t xml:space="preserve"> n. 78 del 2010, convertito in legge n. 122 del 2010 - sono </w:t>
      </w:r>
      <w:r>
        <w:rPr>
          <w:rFonts w:cstheme="minorHAnsi"/>
          <w:b/>
          <w:bCs/>
          <w:i/>
          <w:sz w:val="24"/>
          <w:szCs w:val="24"/>
        </w:rPr>
        <w:t>disposizioni eccezionali</w:t>
      </w:r>
      <w:r>
        <w:rPr>
          <w:rFonts w:cstheme="minorHAnsi"/>
          <w:bCs/>
          <w:i/>
          <w:sz w:val="24"/>
          <w:szCs w:val="24"/>
        </w:rPr>
        <w:t xml:space="preserve"> e, in quanto tali, da interpretate in senso letterale (art. 14 disp. </w:t>
      </w:r>
      <w:proofErr w:type="spellStart"/>
      <w:r>
        <w:rPr>
          <w:rFonts w:cstheme="minorHAnsi"/>
          <w:bCs/>
          <w:i/>
          <w:sz w:val="24"/>
          <w:szCs w:val="24"/>
        </w:rPr>
        <w:t>prel</w:t>
      </w:r>
      <w:proofErr w:type="spellEnd"/>
      <w:r>
        <w:rPr>
          <w:rFonts w:cstheme="minorHAnsi"/>
          <w:bCs/>
          <w:i/>
          <w:sz w:val="24"/>
          <w:szCs w:val="24"/>
        </w:rPr>
        <w:t xml:space="preserve">. c.c.), in stretta aderenza con lo scopo loro assegnato di "Contenimento delle spese in materia di impiego pubblico" (così la rubrica dell'art. 9 del </w:t>
      </w:r>
      <w:proofErr w:type="spellStart"/>
      <w:r>
        <w:rPr>
          <w:rFonts w:cstheme="minorHAnsi"/>
          <w:bCs/>
          <w:i/>
          <w:sz w:val="24"/>
          <w:szCs w:val="24"/>
        </w:rPr>
        <w:t>d.l.</w:t>
      </w:r>
      <w:proofErr w:type="spellEnd"/>
      <w:r>
        <w:rPr>
          <w:rFonts w:cstheme="minorHAnsi"/>
          <w:bCs/>
          <w:i/>
          <w:sz w:val="24"/>
          <w:szCs w:val="24"/>
        </w:rPr>
        <w:t xml:space="preserve"> n. 78 del 2010). Alla luce di tale impostazione, la progressione in carriera va tenuta distinta dai suoi effetti economici. Il </w:t>
      </w:r>
      <w:r>
        <w:rPr>
          <w:rFonts w:cstheme="minorHAnsi"/>
          <w:b/>
          <w:bCs/>
          <w:i/>
          <w:sz w:val="24"/>
          <w:szCs w:val="24"/>
          <w:u w:val="single"/>
        </w:rPr>
        <w:t>blocco dettato da esigenze di contenimento della spesa pubblica deve riguardare solo gli effetti economici</w:t>
      </w:r>
      <w:r>
        <w:rPr>
          <w:rFonts w:cstheme="minorHAnsi"/>
          <w:bCs/>
          <w:i/>
          <w:sz w:val="24"/>
          <w:szCs w:val="24"/>
        </w:rPr>
        <w:t xml:space="preserve"> (essendo ciò funzionale e sufficiente al raggiungimento del suo scopo), </w:t>
      </w:r>
      <w:r>
        <w:rPr>
          <w:rFonts w:cstheme="minorHAnsi"/>
          <w:b/>
          <w:bCs/>
          <w:i/>
          <w:sz w:val="24"/>
          <w:szCs w:val="24"/>
        </w:rPr>
        <w:t>senza influire negativamente sulla carriera a fini giuridici</w:t>
      </w:r>
      <w:r>
        <w:rPr>
          <w:rFonts w:cstheme="minorHAnsi"/>
          <w:bCs/>
          <w:i/>
          <w:sz w:val="24"/>
          <w:szCs w:val="24"/>
        </w:rPr>
        <w:t xml:space="preserve">.» </w:t>
      </w:r>
      <w:r>
        <w:rPr>
          <w:rFonts w:cstheme="minorHAnsi"/>
          <w:bCs/>
          <w:sz w:val="24"/>
          <w:szCs w:val="24"/>
        </w:rPr>
        <w:t>(così, da ultimo, Cass. sez. lav., 11/06/2024, n. 16133).</w:t>
      </w:r>
    </w:p>
    <w:p w14:paraId="6619D4C0" w14:textId="77777777" w:rsidR="004F5579" w:rsidRDefault="00833D22">
      <w:pPr>
        <w:spacing w:line="276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presente diffida viene inviata anche ai fini dell’interruzione della prescrizione.</w:t>
      </w:r>
    </w:p>
    <w:p w14:paraId="0803AB16" w14:textId="77777777" w:rsidR="004F5579" w:rsidRDefault="00833D22">
      <w:pPr>
        <w:spacing w:line="276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segnalo che in mancanza di positivo riscontro, lo scrivente si vedrà costretto ad agire giudizialmente con Vostro maggior onere di spese.</w:t>
      </w:r>
    </w:p>
    <w:p w14:paraId="0FC71C99" w14:textId="77777777" w:rsidR="004F5579" w:rsidRDefault="00833D22">
      <w:pPr>
        <w:pStyle w:val="Corpodeltesto3"/>
        <w:spacing w:line="276" w:lineRule="auto"/>
        <w:ind w:left="851" w:right="140" w:firstLine="1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Distinti saluti.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4A0D67F" w14:textId="77777777" w:rsidR="004F5579" w:rsidRDefault="00833D22">
      <w:pPr>
        <w:spacing w:line="276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Firma </w:t>
      </w:r>
    </w:p>
    <w:sectPr w:rsidR="004F5579">
      <w:pgSz w:w="11906" w:h="16838"/>
      <w:pgMar w:top="993" w:right="1983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79"/>
    <w:rsid w:val="004F5579"/>
    <w:rsid w:val="0080017D"/>
    <w:rsid w:val="00833D22"/>
    <w:rsid w:val="009A6744"/>
    <w:rsid w:val="00D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6E71"/>
  <w15:docId w15:val="{5AB159A1-8D21-4069-83A9-3807DE5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B11DBF"/>
    <w:pPr>
      <w:keepNext/>
      <w:widowControl w:val="0"/>
      <w:tabs>
        <w:tab w:val="left" w:pos="3402"/>
      </w:tabs>
      <w:spacing w:after="0" w:line="276" w:lineRule="auto"/>
      <w:ind w:left="284" w:right="1983"/>
      <w:jc w:val="right"/>
      <w:outlineLvl w:val="0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06E3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qFormat/>
    <w:rsid w:val="00B11DBF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B11D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B11DBF"/>
    <w:rPr>
      <w:rFonts w:ascii="Times New Roman" w:eastAsia="Times New Roman" w:hAnsi="Times New Roman" w:cs="Times New Roman"/>
      <w:sz w:val="28"/>
      <w:szCs w:val="20"/>
      <w:lang w:eastAsia="it-IT" w:bidi="he-I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qFormat/>
    <w:rsid w:val="00B11D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qFormat/>
    <w:rsid w:val="00B11DBF"/>
    <w:pPr>
      <w:tabs>
        <w:tab w:val="left" w:pos="567"/>
        <w:tab w:val="left" w:pos="993"/>
        <w:tab w:val="left" w:pos="1418"/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p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 nazionale</dc:creator>
  <dc:description/>
  <cp:lastModifiedBy>Rita Santamaria</cp:lastModifiedBy>
  <cp:revision>2</cp:revision>
  <cp:lastPrinted>2022-12-22T10:34:00Z</cp:lastPrinted>
  <dcterms:created xsi:type="dcterms:W3CDTF">2024-11-21T10:56:00Z</dcterms:created>
  <dcterms:modified xsi:type="dcterms:W3CDTF">2024-11-21T10:56:00Z</dcterms:modified>
  <dc:language>it-IT</dc:language>
</cp:coreProperties>
</file>